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9B8D" w14:textId="4B601C88" w:rsidR="003D3634" w:rsidRDefault="003D3634" w:rsidP="003D3634">
      <w:pPr>
        <w:pStyle w:val="Heading3"/>
        <w:rPr>
          <w:rFonts w:eastAsia="Times New Roman"/>
          <w:lang w:eastAsia="en-GB"/>
        </w:rPr>
      </w:pPr>
      <w:r>
        <w:rPr>
          <w:rFonts w:eastAsia="Times New Roman"/>
          <w:lang w:eastAsia="en-GB"/>
        </w:rPr>
        <w:t xml:space="preserve">Thank you to Professor Steve Kellett who has provided this brief update </w:t>
      </w:r>
    </w:p>
    <w:p w14:paraId="7E315DD2" w14:textId="41C6DF7D" w:rsidR="00EE60D1" w:rsidRDefault="00EE60D1" w:rsidP="00EE60D1">
      <w:pPr>
        <w:rPr>
          <w:rFonts w:eastAsia="Times New Roman" w:cstheme="minorHAnsi"/>
          <w:color w:val="1C1D1E"/>
          <w:lang w:eastAsia="en-GB"/>
        </w:rPr>
      </w:pPr>
      <w:r>
        <w:rPr>
          <w:rFonts w:eastAsia="Times New Roman" w:cstheme="minorHAnsi"/>
          <w:color w:val="1C1D1E"/>
          <w:lang w:eastAsia="en-GB"/>
        </w:rPr>
        <w:t>The</w:t>
      </w:r>
      <w:r w:rsidRPr="00C549C3">
        <w:rPr>
          <w:rFonts w:eastAsia="Times New Roman" w:cstheme="minorHAnsi"/>
          <w:color w:val="1C1D1E"/>
          <w:lang w:eastAsia="en-GB"/>
        </w:rPr>
        <w:t xml:space="preserve"> CAT evidence base has expanded in recent years, across a range of </w:t>
      </w:r>
      <w:r>
        <w:rPr>
          <w:rFonts w:eastAsia="Times New Roman" w:cstheme="minorHAnsi"/>
          <w:color w:val="1C1D1E"/>
          <w:lang w:eastAsia="en-GB"/>
        </w:rPr>
        <w:t xml:space="preserve">controlled and uncontrolled </w:t>
      </w:r>
      <w:r w:rsidRPr="00C549C3">
        <w:rPr>
          <w:rFonts w:eastAsia="Times New Roman" w:cstheme="minorHAnsi"/>
          <w:color w:val="1C1D1E"/>
          <w:lang w:eastAsia="en-GB"/>
        </w:rPr>
        <w:t>methodologies</w:t>
      </w:r>
      <w:r>
        <w:rPr>
          <w:rFonts w:eastAsia="Times New Roman" w:cstheme="minorHAnsi"/>
          <w:color w:val="1C1D1E"/>
          <w:lang w:eastAsia="en-GB"/>
        </w:rPr>
        <w:t xml:space="preserve"> and a wider range of clinical presentations </w:t>
      </w:r>
      <w:r w:rsidRPr="00C549C3">
        <w:rPr>
          <w:rFonts w:eastAsia="Times New Roman" w:cstheme="minorHAnsi"/>
          <w:color w:val="1C1D1E"/>
          <w:lang w:eastAsia="en-GB"/>
        </w:rPr>
        <w:t xml:space="preserve">and </w:t>
      </w:r>
      <w:r>
        <w:rPr>
          <w:rFonts w:eastAsia="Times New Roman" w:cstheme="minorHAnsi"/>
          <w:color w:val="1C1D1E"/>
          <w:lang w:eastAsia="en-GB"/>
        </w:rPr>
        <w:t>service settings.  The evidence base for the</w:t>
      </w:r>
      <w:r w:rsidRPr="00C549C3">
        <w:rPr>
          <w:rFonts w:eastAsia="Times New Roman" w:cstheme="minorHAnsi"/>
          <w:color w:val="1C1D1E"/>
          <w:lang w:eastAsia="en-GB"/>
        </w:rPr>
        <w:t xml:space="preserve"> 8, 16 and 24 session versions of the model</w:t>
      </w:r>
      <w:r>
        <w:rPr>
          <w:rFonts w:eastAsia="Times New Roman" w:cstheme="minorHAnsi"/>
          <w:color w:val="1C1D1E"/>
          <w:lang w:eastAsia="en-GB"/>
        </w:rPr>
        <w:t xml:space="preserve"> has therefore expanded.</w:t>
      </w:r>
    </w:p>
    <w:p w14:paraId="7B7A0800" w14:textId="77777777" w:rsidR="00EE60D1" w:rsidRPr="00C549C3" w:rsidRDefault="00EE60D1" w:rsidP="00EE60D1">
      <w:pPr>
        <w:pStyle w:val="NormalWeb"/>
        <w:spacing w:after="0" w:line="240" w:lineRule="auto"/>
        <w:textAlignment w:val="baseline"/>
        <w:rPr>
          <w:rStyle w:val="Hyperlink"/>
          <w:rFonts w:asciiTheme="minorHAnsi" w:hAnsiTheme="minorHAnsi" w:cstheme="minorHAnsi"/>
          <w:sz w:val="22"/>
          <w:szCs w:val="22"/>
        </w:rPr>
      </w:pPr>
      <w:r w:rsidRPr="00C549C3">
        <w:rPr>
          <w:rFonts w:asciiTheme="minorHAnsi" w:hAnsiTheme="minorHAnsi" w:cstheme="minorHAnsi"/>
          <w:color w:val="2B2B2B"/>
          <w:sz w:val="22"/>
          <w:szCs w:val="22"/>
        </w:rPr>
        <w:t>In February 2021 the journal Psychology and Psychotherapy, Theory Research and Practice published a special issue on </w:t>
      </w:r>
      <w:r w:rsidRPr="00C549C3">
        <w:rPr>
          <w:rStyle w:val="Strong"/>
          <w:rFonts w:asciiTheme="minorHAnsi" w:hAnsiTheme="minorHAnsi" w:cstheme="minorHAnsi"/>
          <w:color w:val="2B2B2B"/>
          <w:sz w:val="22"/>
          <w:szCs w:val="22"/>
          <w:bdr w:val="none" w:sz="0" w:space="0" w:color="auto" w:frame="1"/>
        </w:rPr>
        <w:t xml:space="preserve">Cognitive Analytic Therapy: Research Developments and Insights </w:t>
      </w:r>
      <w:hyperlink r:id="rId4" w:history="1">
        <w:r w:rsidRPr="00C549C3">
          <w:rPr>
            <w:rStyle w:val="Hyperlink"/>
            <w:rFonts w:asciiTheme="minorHAnsi" w:hAnsiTheme="minorHAnsi" w:cstheme="minorHAnsi"/>
            <w:sz w:val="22"/>
            <w:szCs w:val="22"/>
          </w:rPr>
          <w:t>https://bpspsychub.onlinelibrary.wiley.com/toc/20448341/2021/94/S1</w:t>
        </w:r>
      </w:hyperlink>
    </w:p>
    <w:p w14:paraId="1391E056" w14:textId="77777777" w:rsidR="00EE60D1" w:rsidRDefault="00EE60D1" w:rsidP="00EE60D1">
      <w:pPr>
        <w:rPr>
          <w:rFonts w:eastAsia="Times New Roman" w:cstheme="minorHAnsi"/>
          <w:color w:val="1C1D1E"/>
          <w:lang w:eastAsia="en-GB"/>
        </w:rPr>
      </w:pPr>
    </w:p>
    <w:p w14:paraId="5E58124A" w14:textId="77777777" w:rsidR="00EE60D1" w:rsidRDefault="00EE60D1" w:rsidP="00EE60D1">
      <w:pPr>
        <w:rPr>
          <w:rFonts w:eastAsia="Times New Roman" w:cstheme="minorHAnsi"/>
          <w:color w:val="1C1D1E"/>
          <w:lang w:eastAsia="en-GB"/>
        </w:rPr>
      </w:pPr>
      <w:r>
        <w:rPr>
          <w:rFonts w:eastAsia="Times New Roman" w:cstheme="minorHAnsi"/>
          <w:color w:val="1C1D1E"/>
          <w:lang w:eastAsia="en-GB"/>
        </w:rPr>
        <w:t xml:space="preserve">The CAT evidence base has also benefitted from a stream of work concerning a ‘low intensity’ version of the model – called CAT-guided self- help. Depression and anxiety versions are now available for use in Talking Therapies services.    </w:t>
      </w:r>
      <w:r w:rsidRPr="00C549C3">
        <w:rPr>
          <w:rFonts w:eastAsia="Times New Roman" w:cstheme="minorHAnsi"/>
          <w:color w:val="1C1D1E"/>
          <w:lang w:eastAsia="en-GB"/>
        </w:rPr>
        <w:t xml:space="preserve">  </w:t>
      </w:r>
    </w:p>
    <w:p w14:paraId="73C292EC" w14:textId="77777777" w:rsidR="00EE60D1" w:rsidRDefault="00EE60D1" w:rsidP="00EE60D1">
      <w:pPr>
        <w:rPr>
          <w:rFonts w:eastAsia="Times New Roman" w:cstheme="minorHAnsi"/>
          <w:color w:val="1C1D1E"/>
          <w:lang w:eastAsia="en-GB"/>
        </w:rPr>
      </w:pPr>
      <w:r>
        <w:rPr>
          <w:rFonts w:eastAsia="Times New Roman" w:cstheme="minorHAnsi"/>
          <w:color w:val="1C1D1E"/>
          <w:lang w:eastAsia="en-GB"/>
        </w:rPr>
        <w:t xml:space="preserve">The narrative review of CAT completed in 2014 made the call for more controlled studies.  Since that date there has been 5 new CAT RCTs completed across various research groups.  These have been completed internationally.  The RCTs have used a variety of designs from feasibility to patient preference. </w:t>
      </w:r>
    </w:p>
    <w:p w14:paraId="1E0017E4" w14:textId="77777777" w:rsidR="00EE60D1" w:rsidRDefault="00EE60D1" w:rsidP="00EE60D1">
      <w:pPr>
        <w:rPr>
          <w:rFonts w:eastAsia="Times New Roman" w:cstheme="minorHAnsi"/>
          <w:color w:val="1C1D1E"/>
          <w:lang w:eastAsia="en-GB"/>
        </w:rPr>
      </w:pPr>
      <w:r>
        <w:rPr>
          <w:rFonts w:eastAsia="Times New Roman" w:cstheme="minorHAnsi"/>
          <w:color w:val="1C1D1E"/>
          <w:lang w:eastAsia="en-GB"/>
        </w:rPr>
        <w:t xml:space="preserve">Two well conducted meta-analyses of CAT have been conducted and published (1) concerning effectiveness in 2021 and (2) concerning acceptability in in 2022.  There is a meta-analysis of the 8-session model currently being completed.   </w:t>
      </w:r>
    </w:p>
    <w:p w14:paraId="385114CF" w14:textId="77777777" w:rsidR="00EE60D1" w:rsidRDefault="00EE60D1" w:rsidP="00EE60D1">
      <w:pPr>
        <w:rPr>
          <w:rFonts w:eastAsia="Times New Roman" w:cstheme="minorHAnsi"/>
          <w:color w:val="1C1D1E"/>
          <w:lang w:eastAsia="en-GB"/>
        </w:rPr>
      </w:pPr>
      <w:r>
        <w:rPr>
          <w:rFonts w:eastAsia="Times New Roman" w:cstheme="minorHAnsi"/>
          <w:color w:val="1C1D1E"/>
          <w:lang w:eastAsia="en-GB"/>
        </w:rPr>
        <w:t xml:space="preserve">The National Institute for Health Research (NIHR) has also funded, in their research for patient benefits stream, two CAT feasibility RCTs concerning the 8-session model and self-harm.  One has been completed in adults (and five associated papers published) and one in CAMs is currently recruiting and is on track in terms of its progression targets.  Due to the success of the feasibility RCT in adults, an application to the NIHR has been made for a fully powered trial of 8-session CAT for self-harm in the efficacy and mechanism stream.     </w:t>
      </w:r>
    </w:p>
    <w:p w14:paraId="7D739D91" w14:textId="77777777" w:rsidR="00EE60D1" w:rsidRDefault="00EE60D1" w:rsidP="00EE60D1">
      <w:pPr>
        <w:rPr>
          <w:rFonts w:eastAsia="Times New Roman" w:cstheme="minorHAnsi"/>
          <w:color w:val="1C1D1E"/>
          <w:lang w:eastAsia="en-GB"/>
        </w:rPr>
      </w:pPr>
      <w:r>
        <w:rPr>
          <w:rFonts w:eastAsia="Times New Roman" w:cstheme="minorHAnsi"/>
          <w:color w:val="1C1D1E"/>
          <w:lang w:eastAsia="en-GB"/>
        </w:rPr>
        <w:t xml:space="preserve">The evidence base for CAT has always contained a wide number of single case experimental designs (SCED).  The methodological sophistication of these designs has improved over time.  There is currently a meta-analysis of the CAT SCED evidence base. This contains &gt;30 SCEDs and will be the largest study of its kind ever completed.  </w:t>
      </w:r>
    </w:p>
    <w:p w14:paraId="1C81BBA1" w14:textId="77777777" w:rsidR="00EE60D1" w:rsidRDefault="00EE60D1" w:rsidP="00EE60D1">
      <w:pPr>
        <w:rPr>
          <w:rFonts w:eastAsia="Times New Roman" w:cstheme="minorHAnsi"/>
          <w:color w:val="1C1D1E"/>
          <w:lang w:eastAsia="en-GB"/>
        </w:rPr>
      </w:pPr>
      <w:r>
        <w:rPr>
          <w:rFonts w:eastAsia="Times New Roman" w:cstheme="minorHAnsi"/>
          <w:color w:val="1C1D1E"/>
          <w:lang w:eastAsia="en-GB"/>
        </w:rPr>
        <w:t xml:space="preserve">The recent development of CAT for inpatients and the two NIHR feasibility trials have been tracking safety and adverse incidents.  This illustrates CAT as a safe brief intervention. </w:t>
      </w:r>
    </w:p>
    <w:p w14:paraId="3807C37D" w14:textId="77777777" w:rsidR="00EE60D1" w:rsidRDefault="00EE60D1" w:rsidP="00EE60D1">
      <w:pPr>
        <w:rPr>
          <w:color w:val="0000FF"/>
          <w:u w:val="single"/>
        </w:rPr>
      </w:pPr>
      <w:r w:rsidRPr="1756AC51">
        <w:rPr>
          <w:color w:val="000000" w:themeColor="text1"/>
        </w:rPr>
        <w:t xml:space="preserve">The research tab on the ACAT website includes a listing of recently published CAT research </w:t>
      </w:r>
    </w:p>
    <w:p w14:paraId="1CE36E80" w14:textId="77777777" w:rsidR="00EE60D1" w:rsidRDefault="00EE60D1" w:rsidP="00EE60D1">
      <w:pPr>
        <w:rPr>
          <w:rStyle w:val="Hyperlink"/>
          <w:rFonts w:ascii="Calibri" w:eastAsia="Calibri" w:hAnsi="Calibri" w:cs="Calibri"/>
        </w:rPr>
      </w:pPr>
      <w:hyperlink r:id="rId5">
        <w:r w:rsidRPr="1756AC51">
          <w:rPr>
            <w:rStyle w:val="Hyperlink"/>
            <w:rFonts w:ascii="Calibri" w:eastAsia="Calibri" w:hAnsi="Calibri" w:cs="Calibri"/>
          </w:rPr>
          <w:t>https://www.acat.org.uk/about-the-association-of-cognitive-analytic-therapy-acat/research-and-acat</w:t>
        </w:r>
      </w:hyperlink>
    </w:p>
    <w:p w14:paraId="5C12E10A" w14:textId="77777777" w:rsidR="00EE60D1" w:rsidRPr="00FD5ED4" w:rsidRDefault="00EE60D1" w:rsidP="00EE60D1">
      <w:pPr>
        <w:rPr>
          <w:rStyle w:val="Hyperlink"/>
          <w:rFonts w:ascii="Calibri" w:eastAsia="Calibri" w:hAnsi="Calibri" w:cs="Calibri"/>
        </w:rPr>
      </w:pPr>
      <w:hyperlink r:id="rId6">
        <w:r w:rsidRPr="1756AC51">
          <w:rPr>
            <w:rStyle w:val="Hyperlink"/>
            <w:rFonts w:ascii="Calibri" w:eastAsia="Calibri" w:hAnsi="Calibri" w:cs="Calibri"/>
          </w:rPr>
          <w:t>https://www.acat.org.uk/cat-explained</w:t>
        </w:r>
      </w:hyperlink>
    </w:p>
    <w:p w14:paraId="65B9F3D7" w14:textId="46993D9A" w:rsidR="004D0FD1" w:rsidRPr="00EE60D1" w:rsidRDefault="004D0FD1" w:rsidP="00EE60D1"/>
    <w:sectPr w:rsidR="004D0FD1" w:rsidRPr="00EE60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FD1"/>
    <w:rsid w:val="003B4C61"/>
    <w:rsid w:val="003D3634"/>
    <w:rsid w:val="004D0FD1"/>
    <w:rsid w:val="007D5D70"/>
    <w:rsid w:val="00A63662"/>
    <w:rsid w:val="00EE60D1"/>
    <w:rsid w:val="00F02C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1EEF0"/>
  <w15:chartTrackingRefBased/>
  <w15:docId w15:val="{CA071AF8-B7D9-42E0-AA06-1BCB2C670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0D1"/>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4D0FD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4D0FD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4D0FD1"/>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D0FD1"/>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4D0FD1"/>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D0FD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D0FD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D0FD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D0FD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FD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D0FD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D0FD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D0FD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D0FD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D0F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0F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0F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0FD1"/>
    <w:rPr>
      <w:rFonts w:eastAsiaTheme="majorEastAsia" w:cstheme="majorBidi"/>
      <w:color w:val="272727" w:themeColor="text1" w:themeTint="D8"/>
    </w:rPr>
  </w:style>
  <w:style w:type="paragraph" w:styleId="Title">
    <w:name w:val="Title"/>
    <w:basedOn w:val="Normal"/>
    <w:next w:val="Normal"/>
    <w:link w:val="TitleChar"/>
    <w:uiPriority w:val="10"/>
    <w:qFormat/>
    <w:rsid w:val="004D0FD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D0F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0FD1"/>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D0F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0FD1"/>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D0FD1"/>
    <w:rPr>
      <w:i/>
      <w:iCs/>
      <w:color w:val="404040" w:themeColor="text1" w:themeTint="BF"/>
    </w:rPr>
  </w:style>
  <w:style w:type="paragraph" w:styleId="ListParagraph">
    <w:name w:val="List Paragraph"/>
    <w:basedOn w:val="Normal"/>
    <w:uiPriority w:val="34"/>
    <w:qFormat/>
    <w:rsid w:val="004D0FD1"/>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4D0FD1"/>
    <w:rPr>
      <w:i/>
      <w:iCs/>
      <w:color w:val="2F5496" w:themeColor="accent1" w:themeShade="BF"/>
    </w:rPr>
  </w:style>
  <w:style w:type="paragraph" w:styleId="IntenseQuote">
    <w:name w:val="Intense Quote"/>
    <w:basedOn w:val="Normal"/>
    <w:next w:val="Normal"/>
    <w:link w:val="IntenseQuoteChar"/>
    <w:uiPriority w:val="30"/>
    <w:qFormat/>
    <w:rsid w:val="004D0FD1"/>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D0FD1"/>
    <w:rPr>
      <w:i/>
      <w:iCs/>
      <w:color w:val="2F5496" w:themeColor="accent1" w:themeShade="BF"/>
    </w:rPr>
  </w:style>
  <w:style w:type="character" w:styleId="IntenseReference">
    <w:name w:val="Intense Reference"/>
    <w:basedOn w:val="DefaultParagraphFont"/>
    <w:uiPriority w:val="32"/>
    <w:qFormat/>
    <w:rsid w:val="004D0FD1"/>
    <w:rPr>
      <w:b/>
      <w:bCs/>
      <w:smallCaps/>
      <w:color w:val="2F5496" w:themeColor="accent1" w:themeShade="BF"/>
      <w:spacing w:val="5"/>
    </w:rPr>
  </w:style>
  <w:style w:type="character" w:styleId="Hyperlink">
    <w:name w:val="Hyperlink"/>
    <w:basedOn w:val="DefaultParagraphFont"/>
    <w:uiPriority w:val="99"/>
    <w:unhideWhenUsed/>
    <w:rsid w:val="00EE60D1"/>
    <w:rPr>
      <w:color w:val="0563C1" w:themeColor="hyperlink"/>
      <w:u w:val="single"/>
    </w:rPr>
  </w:style>
  <w:style w:type="paragraph" w:styleId="NormalWeb">
    <w:name w:val="Normal (Web)"/>
    <w:basedOn w:val="Normal"/>
    <w:uiPriority w:val="99"/>
    <w:unhideWhenUsed/>
    <w:rsid w:val="00EE60D1"/>
    <w:pPr>
      <w:spacing w:after="240" w:line="384" w:lineRule="atLeast"/>
    </w:pPr>
    <w:rPr>
      <w:rFonts w:ascii="Open Sans" w:eastAsia="Times New Roman" w:hAnsi="Open Sans" w:cs="Times New Roman"/>
      <w:color w:val="606061"/>
      <w:sz w:val="26"/>
      <w:szCs w:val="26"/>
      <w:lang w:eastAsia="en-GB"/>
    </w:rPr>
  </w:style>
  <w:style w:type="character" w:styleId="Strong">
    <w:name w:val="Strong"/>
    <w:uiPriority w:val="22"/>
    <w:qFormat/>
    <w:rsid w:val="00EE60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cat.org.uk/cat-explained" TargetMode="External"/><Relationship Id="rId5" Type="http://schemas.openxmlformats.org/officeDocument/2006/relationships/hyperlink" Target="https://www.acat.org.uk/about-the-association-of-cognitive-analytic-therapy-acat/research-and-acat" TargetMode="External"/><Relationship Id="rId4" Type="http://schemas.openxmlformats.org/officeDocument/2006/relationships/hyperlink" Target="https://bpspsychub.onlinelibrary.wiley.com/toc/20448341/2021/94/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435</Words>
  <Characters>2484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Bennett</dc:creator>
  <cp:keywords/>
  <dc:description/>
  <cp:lastModifiedBy>Dawn Bennett</cp:lastModifiedBy>
  <cp:revision>4</cp:revision>
  <dcterms:created xsi:type="dcterms:W3CDTF">2026-07-01T12:27:00Z</dcterms:created>
  <dcterms:modified xsi:type="dcterms:W3CDTF">2026-07-31T15:14:00Z</dcterms:modified>
</cp:coreProperties>
</file>