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332F" w14:textId="352D6653" w:rsidR="004D0E32" w:rsidRPr="00A9359F" w:rsidRDefault="004D0E32" w:rsidP="004D0E32">
      <w:pPr>
        <w:pStyle w:val="p1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9359F">
        <w:rPr>
          <w:rFonts w:asciiTheme="majorHAnsi" w:hAnsiTheme="majorHAnsi" w:cstheme="majorHAnsi"/>
          <w:noProof/>
        </w:rPr>
        <w:drawing>
          <wp:inline distT="0" distB="0" distL="0" distR="0" wp14:anchorId="486CFA81" wp14:editId="49DB10EF">
            <wp:extent cx="798830" cy="774065"/>
            <wp:effectExtent l="0" t="0" r="0" b="0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4E16" w14:textId="549BFBBC" w:rsidR="006B470A" w:rsidRPr="00A9359F" w:rsidRDefault="006B470A" w:rsidP="001F2985">
      <w:pPr>
        <w:pStyle w:val="Heading1"/>
        <w:jc w:val="center"/>
        <w:rPr>
          <w:rFonts w:cstheme="majorHAnsi"/>
          <w:sz w:val="28"/>
          <w:szCs w:val="28"/>
        </w:rPr>
      </w:pPr>
      <w:r w:rsidRPr="00A9359F">
        <w:rPr>
          <w:rFonts w:cstheme="majorHAnsi"/>
          <w:sz w:val="28"/>
          <w:szCs w:val="28"/>
        </w:rPr>
        <w:t>A summary of a Q&amp;A session between trainees at the start of the course with</w:t>
      </w:r>
      <w:r w:rsidR="007A2948" w:rsidRPr="00A9359F">
        <w:rPr>
          <w:rFonts w:cstheme="majorHAnsi"/>
          <w:sz w:val="28"/>
          <w:szCs w:val="28"/>
        </w:rPr>
        <w:t xml:space="preserve"> </w:t>
      </w:r>
      <w:r w:rsidRPr="00A9359F">
        <w:rPr>
          <w:rFonts w:cstheme="majorHAnsi"/>
          <w:sz w:val="28"/>
          <w:szCs w:val="28"/>
        </w:rPr>
        <w:t>past graduates (and frequently asked questions)</w:t>
      </w:r>
    </w:p>
    <w:p w14:paraId="69BBD388" w14:textId="77777777" w:rsidR="006B470A" w:rsidRPr="00A9359F" w:rsidRDefault="006B470A" w:rsidP="007A2948">
      <w:pPr>
        <w:pStyle w:val="p1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3E1795C" w14:textId="77777777" w:rsidR="006B470A" w:rsidRPr="00A9359F" w:rsidRDefault="006B470A" w:rsidP="001F2985">
      <w:pPr>
        <w:pStyle w:val="Heading2"/>
        <w:rPr>
          <w:rFonts w:cstheme="majorHAnsi"/>
        </w:rPr>
      </w:pPr>
      <w:r w:rsidRPr="00A9359F">
        <w:rPr>
          <w:rFonts w:cstheme="majorHAnsi"/>
        </w:rPr>
        <w:t>General course questions</w:t>
      </w:r>
    </w:p>
    <w:p w14:paraId="3BF9A752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How do you fit in the academic work with full time working/family life?</w:t>
      </w:r>
    </w:p>
    <w:p w14:paraId="750335D5" w14:textId="7848E41C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I found the workload to be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fairly steady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>. The teaching blocks corresponded time wise to the written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components that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were approaching and there was plenty of notice (and handy reminders from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Frances) of each deadline date. I found that if I started early, I was able to use quieter moments at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work to keep going back to essays/case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reports, and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ended up doing only a small amount of writing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at home. My audio case report was late due to technical difficulties; however, the course was really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understanding of this. I was also aware that extensions were available if needed.</w:t>
      </w:r>
    </w:p>
    <w:p w14:paraId="0612840C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63E9A371" w14:textId="0B6C8E4E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There is a recommendation to keep a journal which I did not follow, and later in the course, wish I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had. Keeping a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journal is optional but I know that, from a supervision course I did earlier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- in which a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journal was mandatory - writing a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journal helps in many ways: consolidating learning, planning your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work, making best use of supervision and reflecting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on cases and personal therapy.</w:t>
      </w:r>
    </w:p>
    <w:p w14:paraId="028AC772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5300716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Have you enjoyed the course?</w:t>
      </w:r>
    </w:p>
    <w:p w14:paraId="204ECBFE" w14:textId="360539E0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Very much. When you are working in a busy role, taking the time out for academic days and weekly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supervision has felt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nurturing and nourishing. The course has felt thorough in the way it has enabled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me to end feeling like a ‘good enough’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CAT practitioner. This has been through the combination of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high-quality teaching, excellent supervision, interesting and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supportive seminar group meetings,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honest and helpful feedback from marking and the experience of being the CAT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client.</w:t>
      </w:r>
    </w:p>
    <w:p w14:paraId="44856F71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09F4A48C" w14:textId="0DD87822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The nights away were really good fun too.</w:t>
      </w:r>
    </w:p>
    <w:p w14:paraId="04CED545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9593719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What have been the most challenging parts of the course?</w:t>
      </w:r>
    </w:p>
    <w:p w14:paraId="21CB14CD" w14:textId="298180FC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I wasn’t prepared for a ‘deskilled’ feeling at the start of the course. Having been qualified in my core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profession for 10 years, this was a shock.</w:t>
      </w:r>
    </w:p>
    <w:p w14:paraId="01118F62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123E52A9" w14:textId="68650910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I found supervision really challenging at times. Playing tapes in front of the group felt exposing, but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it was also incredibly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illuminating and helpful, and got easier the more I did it. Not knowing in front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of others felt difficult, but again, so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important to begin to sit with and tolerate this feeling.</w:t>
      </w:r>
    </w:p>
    <w:p w14:paraId="044780FA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1F8BD5FF" w14:textId="7A9AF9F9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Ending the course has been one of the most difficult parts for me. Not feeling contained in the same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way and apprehensive about what happens now.</w:t>
      </w:r>
    </w:p>
    <w:p w14:paraId="12639C0B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29D66D6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Any requirement as to who to select as a referee.</w:t>
      </w:r>
    </w:p>
    <w:p w14:paraId="6D601679" w14:textId="0E10BE16" w:rsidR="006B470A" w:rsidRPr="00A9359F" w:rsidRDefault="006B470A" w:rsidP="007A2948">
      <w:pPr>
        <w:pStyle w:val="p4"/>
        <w:spacing w:line="276" w:lineRule="auto"/>
        <w:rPr>
          <w:rStyle w:val="s1"/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One referee would usually be someone who can report on your general work performance, most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usually in your core profession and who knows you in your job role. It would be helpful if they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are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someone who is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able to indicate their/your workplace support for you embarking on the course. We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would value one referee who was able to comment on your work as a therapist, why CAT may suit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Style w:val="s1"/>
          <w:rFonts w:asciiTheme="majorHAnsi" w:hAnsiTheme="majorHAnsi" w:cstheme="majorHAnsi"/>
          <w:i/>
          <w:iCs/>
          <w:sz w:val="24"/>
          <w:szCs w:val="24"/>
        </w:rPr>
        <w:t>you and why they recommend you for the training.</w:t>
      </w:r>
    </w:p>
    <w:p w14:paraId="4E09A30E" w14:textId="77777777" w:rsidR="006B470A" w:rsidRPr="00A9359F" w:rsidRDefault="006B470A" w:rsidP="007A2948">
      <w:pPr>
        <w:pStyle w:val="p3"/>
        <w:spacing w:line="276" w:lineRule="auto"/>
        <w:rPr>
          <w:rStyle w:val="s1"/>
          <w:rFonts w:asciiTheme="majorHAnsi" w:hAnsiTheme="majorHAnsi" w:cstheme="majorHAnsi"/>
          <w:sz w:val="24"/>
          <w:szCs w:val="24"/>
        </w:rPr>
      </w:pPr>
    </w:p>
    <w:p w14:paraId="58ECE820" w14:textId="1A4B18F8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People living outside the North-west … how does it impact supervision and seminars?</w:t>
      </w:r>
    </w:p>
    <w:p w14:paraId="7CCFE75F" w14:textId="5F55F020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The course has always attracted applicants from a wide geographical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area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and we often have a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number of trainees from various parts of the country. Most years we have trainees from Manchester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and surroundings, Liverpool/Merseyside, Sheffield/Leeds/Yorkshire and </w:t>
      </w:r>
      <w:proofErr w:type="spell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Teeside</w:t>
      </w:r>
      <w:proofErr w:type="spell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with some from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other areas of the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North East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>, Midlands, Lancashire and Cumbria. Occasionally, trainees are from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further afield, such as Ireland, Devon and the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South East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>. Applicants choose us for various reasons,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such as flights into Manchester, family and friends to stay with in Manchester, wanting to join a</w:t>
      </w:r>
      <w:r w:rsidR="00CF054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large course and because we have an annual intake. We always discuss your locality at interview to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check it is manageable and we will inform you of any problematic issues at this stage so you can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choose whether to go ahead.</w:t>
      </w:r>
    </w:p>
    <w:p w14:paraId="05AC9751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46CB08A" w14:textId="33D783DA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Supervision is local with an ACAT accredited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supervis</w:t>
      </w:r>
      <w:r w:rsidR="00CF0542">
        <w:rPr>
          <w:rFonts w:asciiTheme="majorHAnsi" w:hAnsiTheme="majorHAnsi" w:cstheme="majorHAnsi"/>
          <w:i/>
          <w:iCs/>
          <w:sz w:val="24"/>
          <w:szCs w:val="24"/>
        </w:rPr>
        <w:t>or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and we aim for groups. Sometimes trainees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from further away may need to be in supervision with trainees from other CAT courses or in other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years or post qualifying. There may be a need to travel a little further. Pre-pandemic it was the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exception that one or two trainees had online supervision for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a period of time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due to no access to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group supervision within a reasonable distance. See below for the current position.</w:t>
      </w:r>
    </w:p>
    <w:p w14:paraId="2BBA5F4F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B8962A4" w14:textId="466EB11D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Seminars used to also be in person and essentially geographically based and so were a little harder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for trainees from a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distance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but groups formed in creative and workable ways. They are ideally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groups (minimum of 3) meeting for </w:t>
      </w:r>
      <w:r w:rsidR="00CF0542">
        <w:rPr>
          <w:rFonts w:asciiTheme="majorHAnsi" w:hAnsiTheme="majorHAnsi" w:cstheme="majorHAnsi"/>
          <w:i/>
          <w:iCs/>
          <w:sz w:val="24"/>
          <w:szCs w:val="24"/>
        </w:rPr>
        <w:t>2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hrs eight times a year but could opt to meet for </w:t>
      </w:r>
      <w:r w:rsidR="00CF0542">
        <w:rPr>
          <w:rFonts w:asciiTheme="majorHAnsi" w:hAnsiTheme="majorHAnsi" w:cstheme="majorHAnsi"/>
          <w:i/>
          <w:iCs/>
          <w:sz w:val="24"/>
          <w:szCs w:val="24"/>
        </w:rPr>
        <w:t>4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hrs four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times a year. The group would decide when and where to meet and sometimes groups would meet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when we all come together for the teaching days. </w:t>
      </w:r>
      <w:r w:rsidR="00A452B5">
        <w:rPr>
          <w:rFonts w:asciiTheme="majorHAnsi" w:hAnsiTheme="majorHAnsi" w:cstheme="majorHAnsi"/>
          <w:i/>
          <w:iCs/>
          <w:sz w:val="24"/>
          <w:szCs w:val="24"/>
        </w:rPr>
        <w:t>(Seminar groups now mostly meet online to enable trainees from different geographical areas to meet more easily – see below).</w:t>
      </w:r>
    </w:p>
    <w:p w14:paraId="753801FA" w14:textId="77777777" w:rsidR="006B470A" w:rsidRPr="00A9359F" w:rsidRDefault="006B470A" w:rsidP="007A2948">
      <w:pPr>
        <w:pStyle w:val="p3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09A08C4" w14:textId="11689C11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What proportion of the course is in person vs remote?</w:t>
      </w:r>
    </w:p>
    <w:p w14:paraId="1B899C58" w14:textId="0F134FB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Linked to the point about distance,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Catalyse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does not offer remote teaching for those living at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distance and currently ACAT is not aiming to develop remote training. Components can be conducted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online but ACAT has returned to in-person teaching.</w:t>
      </w:r>
    </w:p>
    <w:p w14:paraId="675898DA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455CED3" w14:textId="1D86B7D8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ACAT is one of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a number of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CAT Practitioner courses accredited by Association for CAT (ACAT) and we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follow ACATs position. Post pandemic, training requirements have retained some flexibility. There is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information on the ACAT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website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but the current position is that we aim to provide </w:t>
      </w:r>
      <w:r w:rsidRPr="00A9359F">
        <w:rPr>
          <w:rStyle w:val="s2"/>
          <w:rFonts w:asciiTheme="majorHAnsi" w:hAnsiTheme="majorHAnsi" w:cstheme="majorHAnsi"/>
          <w:i/>
          <w:iCs/>
          <w:sz w:val="24"/>
          <w:szCs w:val="24"/>
        </w:rPr>
        <w:t>in-person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Style w:val="s2"/>
          <w:rFonts w:asciiTheme="majorHAnsi" w:hAnsiTheme="majorHAnsi" w:cstheme="majorHAnsi"/>
          <w:i/>
          <w:iCs/>
          <w:sz w:val="24"/>
          <w:szCs w:val="24"/>
        </w:rPr>
        <w:t xml:space="preserve">teaching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as we can share and demonstrate how we use CAT theory more effectively and it allows for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better group and skills work. Livestreaming is possible, but it isn’t encouraged, we would see it as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necessity and if you have no other option. </w:t>
      </w:r>
      <w:r w:rsidRPr="00A9359F">
        <w:rPr>
          <w:rStyle w:val="s2"/>
          <w:rFonts w:asciiTheme="majorHAnsi" w:hAnsiTheme="majorHAnsi" w:cstheme="majorHAnsi"/>
          <w:i/>
          <w:iCs/>
          <w:sz w:val="24"/>
          <w:szCs w:val="24"/>
        </w:rPr>
        <w:t>Seminar/peer learning groups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can be in person or online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but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Catalyse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now organises these to run online. Trainees may be limited by their service as to the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proportion of </w:t>
      </w:r>
      <w:r w:rsidRPr="00A9359F">
        <w:rPr>
          <w:rStyle w:val="s2"/>
          <w:rFonts w:asciiTheme="majorHAnsi" w:hAnsiTheme="majorHAnsi" w:cstheme="majorHAnsi"/>
          <w:i/>
          <w:iCs/>
          <w:sz w:val="24"/>
          <w:szCs w:val="24"/>
        </w:rPr>
        <w:t xml:space="preserve">CAT training cases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they can deliver in person or online for their training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cases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but ACAT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proposes a minimum of 50% clinical hours in person but will be flexible and consider difficulties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trainees may have meeting this. In person </w:t>
      </w:r>
      <w:r w:rsidRPr="00A9359F">
        <w:rPr>
          <w:rStyle w:val="s2"/>
          <w:rFonts w:asciiTheme="majorHAnsi" w:hAnsiTheme="majorHAnsi" w:cstheme="majorHAnsi"/>
          <w:i/>
          <w:iCs/>
          <w:sz w:val="24"/>
          <w:szCs w:val="24"/>
        </w:rPr>
        <w:t>supervision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is the preferred model of training supervision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but can be conducted online if all members of the group agree and if they meet in person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occasionally. There may be exceptions. In terms of</w:t>
      </w:r>
      <w:r w:rsidRPr="00A9359F">
        <w:rPr>
          <w:rStyle w:val="s2"/>
          <w:rFonts w:asciiTheme="majorHAnsi" w:hAnsiTheme="majorHAnsi" w:cstheme="majorHAnsi"/>
          <w:i/>
          <w:iCs/>
          <w:sz w:val="24"/>
          <w:szCs w:val="24"/>
        </w:rPr>
        <w:t xml:space="preserve"> training therapy,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the central principle is that CAT is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a relational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therapy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and the aim is for in person training therapy. However, CAT is now offered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remotely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and trainees have the experience of delivering this. Trainees can therefore experience the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same form of CAT therapy that they are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delivering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and remote training therapy is accepted. We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accept the submission of </w:t>
      </w:r>
      <w:r w:rsidRPr="00A9359F">
        <w:rPr>
          <w:rStyle w:val="s2"/>
          <w:rFonts w:asciiTheme="majorHAnsi" w:hAnsiTheme="majorHAnsi" w:cstheme="majorHAnsi"/>
          <w:i/>
          <w:iCs/>
          <w:sz w:val="24"/>
          <w:szCs w:val="24"/>
        </w:rPr>
        <w:t xml:space="preserve">course work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for therapies conducted online. This needs to be balanced, with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evidence for the quality of training and skills acquisition.</w:t>
      </w:r>
    </w:p>
    <w:p w14:paraId="3774DEF9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070CAD7" w14:textId="5AEC548F" w:rsidR="006B470A" w:rsidRPr="00A9359F" w:rsidRDefault="006B470A" w:rsidP="001F2985">
      <w:pPr>
        <w:pStyle w:val="Heading2"/>
        <w:rPr>
          <w:rFonts w:cstheme="majorHAnsi"/>
        </w:rPr>
      </w:pPr>
      <w:r w:rsidRPr="00A9359F">
        <w:rPr>
          <w:rStyle w:val="s3"/>
          <w:rFonts w:asciiTheme="majorHAnsi" w:hAnsiTheme="majorHAnsi" w:cstheme="majorHAnsi"/>
          <w:color w:val="2F5496" w:themeColor="accent1" w:themeShade="BF"/>
          <w:sz w:val="26"/>
          <w:szCs w:val="26"/>
        </w:rPr>
        <w:t>Supervision</w:t>
      </w:r>
    </w:p>
    <w:p w14:paraId="12226F3B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What happens if clients drop out?</w:t>
      </w:r>
    </w:p>
    <w:p w14:paraId="569AD34B" w14:textId="3855FA98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This can be frustrating, but it doesn’t always mean the case is lost. It is possible for one of the eight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training cases to be a ‘drop out’ provided the CAT tools were used, the early ending was worked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with</w:t>
      </w:r>
      <w:proofErr w:type="gramEnd"/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and the supervisor supports this as a good learning opportunity. Guidance is given about this.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It can be hard to finish the course within 2 years, and often people overrun due to delays in clinical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case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work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but we encourage you to plan as well as you can to aim for this.</w:t>
      </w:r>
    </w:p>
    <w:p w14:paraId="53C45313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CA8CD4D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 xml:space="preserve">Did I swap supervisor </w:t>
      </w:r>
      <w:proofErr w:type="gramStart"/>
      <w:r w:rsidRPr="00A9359F">
        <w:rPr>
          <w:rFonts w:cstheme="majorHAnsi"/>
        </w:rPr>
        <w:t>half way</w:t>
      </w:r>
      <w:proofErr w:type="gramEnd"/>
      <w:r w:rsidRPr="00A9359F">
        <w:rPr>
          <w:rFonts w:cstheme="majorHAnsi"/>
        </w:rPr>
        <w:t xml:space="preserve"> through? Would it be good to do this?</w:t>
      </w:r>
    </w:p>
    <w:p w14:paraId="3B9FBB31" w14:textId="144676A4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I didn’t swap supervisor, although I was advised to think about it as an option. I felt comfortable in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my supervision group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and that it would have been too disruptive to move (practically and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emotionally). However, I think it could be good to see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how someone else does CAT.</w:t>
      </w:r>
    </w:p>
    <w:p w14:paraId="68813683" w14:textId="77777777" w:rsidR="006B470A" w:rsidRPr="00A9359F" w:rsidRDefault="006B470A" w:rsidP="007A2948">
      <w:pPr>
        <w:pStyle w:val="p3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33372561" w14:textId="376299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How to find a CAT qualified supervisor, can it be a current supervisor or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psychotherapist, how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do the groups work?</w:t>
      </w:r>
    </w:p>
    <w:p w14:paraId="04D8B237" w14:textId="0FD2B4C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The supervisor for training needs to be an ACAT accredited supervisor. We agree this by negotiation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with you. We know the supervisors and we have a sense of where there are spaces for new trainees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to join current groups or where groups can form. There is a list of ACAT accredited supervisors on the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ACAT website. However, we also welcome your views and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lastRenderedPageBreak/>
        <w:t>preferences especially if you are in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workplace where there is a CAT supervision arrangement already set up. Some Trusts where CAT is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well developed will offer you a supervision option or the head of CAT service will work with you and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us to set up a supervision arrangement for you. How we do this is that soon after accepting a place</w:t>
      </w:r>
      <w:r w:rsidR="00A452B5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on the course you receive a form where you’ll tell us your situation, where you are based, where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you’d prefer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supervision, any impossible days, who may be able to offer you supervision etc. We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review options and then reach a decision. You can change supervisor in year 2 if that is an option.</w:t>
      </w:r>
    </w:p>
    <w:p w14:paraId="383BA188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518907A6" w14:textId="5E8FB96B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Supervision usually takes place in working hours but there will be variability in what supervisors can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offer. Once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potential groups are identified for you, there may be opportunity to negotiate and for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decisions about day and times to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be discussed with the potential members. This sort of discussion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helps you to choose if there is more than one option for you.</w:t>
      </w:r>
    </w:p>
    <w:p w14:paraId="1244A043" w14:textId="77777777" w:rsidR="006B470A" w:rsidRPr="00A9359F" w:rsidRDefault="006B470A" w:rsidP="007A2948">
      <w:pPr>
        <w:pStyle w:val="p3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0F758EE" w14:textId="0A204004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What if I don’t have sufficient clients?</w:t>
      </w:r>
    </w:p>
    <w:p w14:paraId="102F47CE" w14:textId="6760D8B6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It is important when learning any therapy on a course such as ours that you can relate what you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learn on training days to clinical practice. For the CAT practitioner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course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the theory and skills taught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in year 1 run alongside the stages of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CAT therapy, so for example we start with early sessions and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core concepts, teach about reformulation in November, middle sessions later and endings in March.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If you can’t access clients alongside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this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you won’t be able to apply theory to practice. You also need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to submit an essay in March of year 1 on Reformulation so you need to have started to see someone.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An ideal is to start with one person in October and then a second a few weeks later and carry two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cases at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any one time. The aim is to see two clients for the first 6 months of the course then have two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more ready to pick up as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these therapies end or if anyone drops out. The aim is to see four clients or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be part way through therapies three and four as year 1 of the training ends. The same pattern would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apply to year 2. It’s important to start on time and try to have suitable clients ready to start ahead of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when cases are </w:t>
      </w:r>
      <w:proofErr w:type="spell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ending</w:t>
      </w:r>
      <w:proofErr w:type="spellEnd"/>
      <w:r w:rsidRPr="00A9359F">
        <w:rPr>
          <w:rFonts w:asciiTheme="majorHAnsi" w:hAnsiTheme="majorHAnsi" w:cstheme="majorHAnsi"/>
          <w:i/>
          <w:iCs/>
          <w:sz w:val="24"/>
          <w:szCs w:val="24"/>
        </w:rPr>
        <w:t>. It is common to take up to a further year to finish seeing 8 clients but that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may have implications for funding your supervision. We do our best to keep you on track with this. If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you are very far behind on case work at the end of year 1 you may not be ready to go into year 2.</w:t>
      </w:r>
    </w:p>
    <w:p w14:paraId="31DB0C13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0A70C3D8" w14:textId="216DF3F6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If your work role means that you can’t arrange to see clients for the training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cases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you may be able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to arrange an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honorary placement with an ACAT supervisor where you see clients in exchange for</w:t>
      </w:r>
      <w:r w:rsidR="00A452B5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free supervision. If you work in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speciality you do need to see some clients outside that so that your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training cases reflect a more diverse range of CAT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practice. This would usually be two clients and you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may need to explore suitable arrangements for this. If this applies to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you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we discuss this at interview.</w:t>
      </w:r>
    </w:p>
    <w:p w14:paraId="68D410D9" w14:textId="77777777" w:rsidR="006B470A" w:rsidRPr="00A9359F" w:rsidRDefault="006B470A" w:rsidP="007A2948">
      <w:pPr>
        <w:pStyle w:val="p2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315E5F3" w14:textId="427A4C76" w:rsidR="006B470A" w:rsidRPr="00A9359F" w:rsidRDefault="006B470A" w:rsidP="001F2985">
      <w:pPr>
        <w:pStyle w:val="Heading2"/>
        <w:rPr>
          <w:rFonts w:cstheme="majorHAnsi"/>
        </w:rPr>
      </w:pPr>
      <w:r w:rsidRPr="00A9359F">
        <w:rPr>
          <w:rFonts w:cstheme="majorHAnsi"/>
        </w:rPr>
        <w:lastRenderedPageBreak/>
        <w:t>Written work</w:t>
      </w:r>
    </w:p>
    <w:p w14:paraId="1A2362C3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Is it difficult to pass the academic work?</w:t>
      </w:r>
    </w:p>
    <w:p w14:paraId="6637E0DC" w14:textId="25E5722B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Everyone on the course will already have a core profession which will have entailed written elements.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 didn’t find the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written work any more difficult to pass than the academic work I have done so far.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Examples of essays were provided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for the first assignment. I found the style required to be more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personal and reflective than written work on the clinical psychology doctorate.</w:t>
      </w:r>
    </w:p>
    <w:p w14:paraId="08A662F7" w14:textId="77777777" w:rsidR="006B470A" w:rsidRPr="00A9359F" w:rsidRDefault="006B470A" w:rsidP="007A2948">
      <w:pPr>
        <w:pStyle w:val="p3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8BA4193" w14:textId="2A9747B3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What if clients don’t consent to being audio recorded for the case study assessment?</w:t>
      </w:r>
    </w:p>
    <w:p w14:paraId="584FA731" w14:textId="132CE03F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You get at least 8 chances to audiotape so you don’t need everyone to agree. I found that if I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introduced audiotaping as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standard practice that clients could opt out of rather than into, this helped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with uptake.</w:t>
      </w:r>
    </w:p>
    <w:p w14:paraId="1CEC28B0" w14:textId="77777777" w:rsidR="006B470A" w:rsidRPr="00A9359F" w:rsidRDefault="006B470A" w:rsidP="007A2948">
      <w:pPr>
        <w:pStyle w:val="p2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2CDE6D6" w14:textId="722F5566" w:rsidR="006B470A" w:rsidRPr="00A9359F" w:rsidRDefault="006B470A" w:rsidP="001F2985">
      <w:pPr>
        <w:pStyle w:val="Heading2"/>
        <w:rPr>
          <w:rFonts w:cstheme="majorHAnsi"/>
        </w:rPr>
      </w:pPr>
      <w:r w:rsidRPr="00A9359F">
        <w:rPr>
          <w:rFonts w:cstheme="majorHAnsi"/>
        </w:rPr>
        <w:t>Personal therapy</w:t>
      </w:r>
    </w:p>
    <w:p w14:paraId="301D3FAA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When is the best time to do the personal therapy?</w:t>
      </w:r>
    </w:p>
    <w:p w14:paraId="74391069" w14:textId="1B09E00A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I don’t think there is a right or wrong answer for this. It could well depend on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a number of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factors –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your schedule,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finding the right therapist, what’s happening for you personally. I did mine at the end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of the course and it felt right for me.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It felt like the final piece in pulling together what I had learnt,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what I had been practising and how my map interweaves with it all.</w:t>
      </w:r>
    </w:p>
    <w:p w14:paraId="2BEBC4FE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1F042DA1" w14:textId="03E6BE02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I would advise speaking to or meeting up with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a number of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therapists before you decide who to see.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Also think about whether you are interested in a more analytic CAT, or a more cognitive CAT, how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closely linked you are to the therapist (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i.e.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might they interview for a job in the future? How would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that feel?) I know some in my year travelled quite a distance to negate this.</w:t>
      </w:r>
    </w:p>
    <w:p w14:paraId="5031B1D5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58752908" w14:textId="1F688CEA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Whenever you do decide to have your personal therapy, you should try to search and identify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suitable therapist and their availability well in advance of when you need to start therapy; CA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T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therapists are usually busy (a good sign surely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)</w:t>
      </w:r>
      <w:proofErr w:type="gramEnd"/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and you may need a two-month lead time to find on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e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able to take you on at a time that suits you.</w:t>
      </w:r>
    </w:p>
    <w:p w14:paraId="54CF0572" w14:textId="77777777" w:rsidR="006B470A" w:rsidRPr="00A9359F" w:rsidRDefault="006B470A" w:rsidP="007A2948">
      <w:pPr>
        <w:pStyle w:val="p3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21B4089A" w14:textId="1D800F13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 xml:space="preserve">I want to do CAT therapy </w:t>
      </w:r>
      <w:proofErr w:type="gramStart"/>
      <w:r w:rsidRPr="00A9359F">
        <w:rPr>
          <w:rFonts w:cstheme="majorHAnsi"/>
        </w:rPr>
        <w:t>now, or</w:t>
      </w:r>
      <w:proofErr w:type="gramEnd"/>
      <w:r w:rsidRPr="00A9359F">
        <w:rPr>
          <w:rFonts w:cstheme="majorHAnsi"/>
        </w:rPr>
        <w:t xml:space="preserve"> have had therapy 6 months ago – can this count.</w:t>
      </w:r>
    </w:p>
    <w:p w14:paraId="4722BD4B" w14:textId="5804F1BB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A CAT therapy can be accepted as the training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component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and this would usually mean that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therapy in the year before you start the course is accepted. If it is longer you would need to discuss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and put a case forward. This is an ACAT Training Committee requirement that applies to all courses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and is not just a local course decision so if it falls more than 12 months before we’d need to raise this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with Training Committee.</w:t>
      </w:r>
    </w:p>
    <w:p w14:paraId="118C2E2E" w14:textId="77777777" w:rsidR="006B470A" w:rsidRPr="00A9359F" w:rsidRDefault="006B470A" w:rsidP="007A2948">
      <w:pPr>
        <w:pStyle w:val="p2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AC4C316" w14:textId="2510D370" w:rsidR="006B470A" w:rsidRPr="00A9359F" w:rsidRDefault="006B470A" w:rsidP="001F2985">
      <w:pPr>
        <w:pStyle w:val="Heading2"/>
        <w:rPr>
          <w:rFonts w:cstheme="majorHAnsi"/>
        </w:rPr>
      </w:pPr>
      <w:r w:rsidRPr="00A9359F">
        <w:rPr>
          <w:rFonts w:cstheme="majorHAnsi"/>
        </w:rPr>
        <w:lastRenderedPageBreak/>
        <w:t>Seminar groups</w:t>
      </w:r>
    </w:p>
    <w:p w14:paraId="7396F8C6" w14:textId="1234EAA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Pre-pandemic seminar groups were geographically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based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and trainees formed groups based on what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worked best for everyone, joining with those closer to them and the group then chose when and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where to meet. During the pandemic groups worked online and as this was successful, fitted well for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everyone and allowed trainees to work with those who they didn’t otherwise meet we have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continued this and are likely to do so. Some of the following questions relate to the old system</w:t>
      </w:r>
      <w:r w:rsidR="00A452B5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0E7E954F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178065B5" w14:textId="01D2C93B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Style w:val="s4"/>
          <w:rFonts w:asciiTheme="majorHAnsi" w:hAnsiTheme="majorHAnsi" w:cstheme="majorHAnsi"/>
          <w:color w:val="1F3763" w:themeColor="accent1" w:themeShade="7F"/>
          <w:sz w:val="24"/>
          <w:szCs w:val="24"/>
        </w:rPr>
        <w:t>How did you find a venue for the seminar groups?</w:t>
      </w:r>
    </w:p>
    <w:p w14:paraId="09505A61" w14:textId="1CD93312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We grouped ourselves geographically initially which was helpful. We were then able to book a room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at one of our trust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locations for free. I know that other groups sometimes met before or after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teaching days, and others at people’s homes.</w:t>
      </w:r>
    </w:p>
    <w:p w14:paraId="17176EF3" w14:textId="77777777" w:rsidR="006B470A" w:rsidRPr="00A9359F" w:rsidRDefault="006B470A" w:rsidP="007A2948">
      <w:pPr>
        <w:pStyle w:val="p3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9272103" w14:textId="4E10F152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How did you structure the seminar groups? Does it feel like a lot of reading, how do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you find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time for this?</w:t>
      </w:r>
    </w:p>
    <w:p w14:paraId="00A30694" w14:textId="46E55A52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We decided on a structure that was right for our group at the first meeting. We wanted the group to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feel supportive as well as informative so started with a ‘check in’ for everyone to catch up with how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everyone was doing. This was a great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chance to pause and reflect, and to hear others experiences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too.</w:t>
      </w:r>
    </w:p>
    <w:p w14:paraId="46DC19EC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7BF13409" w14:textId="7B10B983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We agreed to read a paper each from the list and present it to the group – this meant we all read one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paper in enough detail to present it back to the others, rathe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>r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than all of us reading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all of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the papers.</w:t>
      </w:r>
    </w:p>
    <w:p w14:paraId="4C09CDDB" w14:textId="77777777" w:rsidR="00127A3D" w:rsidRPr="00A9359F" w:rsidRDefault="00127A3D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3EC2FE81" w14:textId="76A024A2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What is the role of the facilitator in the seminar groups, did I feel I was being assessed when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the facilitator was present, how did our group make use of the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facilitator being present?</w:t>
      </w:r>
    </w:p>
    <w:p w14:paraId="6A0E6C13" w14:textId="4F4A4DD9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It didn’t feel like we were being assessed at all. The facilitator was there to add to our discussions,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talk through clinical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material that highlighted points, signpost us to other writers with different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viewpoints, tell us about their journey within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CAT. We sent our facilitator the reading list prior to the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meeting, which helped her prepare.</w:t>
      </w:r>
    </w:p>
    <w:p w14:paraId="6BE1B766" w14:textId="77777777" w:rsidR="006B470A" w:rsidRPr="00A9359F" w:rsidRDefault="006B470A" w:rsidP="007A2948">
      <w:pPr>
        <w:pStyle w:val="p2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4654F975" w14:textId="04DB4B3B" w:rsidR="006B470A" w:rsidRPr="00A9359F" w:rsidRDefault="006B470A" w:rsidP="001F2985">
      <w:pPr>
        <w:pStyle w:val="Heading2"/>
        <w:rPr>
          <w:rFonts w:cstheme="majorHAnsi"/>
        </w:rPr>
      </w:pPr>
      <w:r w:rsidRPr="00A9359F">
        <w:rPr>
          <w:rFonts w:cstheme="majorHAnsi"/>
        </w:rPr>
        <w:t>Clinical practice</w:t>
      </w:r>
    </w:p>
    <w:p w14:paraId="31DD6C6B" w14:textId="04C4871C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Do I add CAT tools (map, letter) to the electronic clinical recording system at work?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Are there</w:t>
      </w:r>
      <w:r w:rsidR="001F2985" w:rsidRPr="00A9359F">
        <w:rPr>
          <w:rFonts w:cstheme="majorHAnsi"/>
        </w:rPr>
        <w:t xml:space="preserve"> </w:t>
      </w:r>
      <w:r w:rsidRPr="00A9359F">
        <w:rPr>
          <w:rFonts w:cstheme="majorHAnsi"/>
        </w:rPr>
        <w:t>issues of confidentiality and consent around this?</w:t>
      </w:r>
    </w:p>
    <w:p w14:paraId="5F1E00E5" w14:textId="1F75494F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This is a 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really good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point and I’m not sure there is a clear answer. There is an argument that says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the CAT tools are a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part of the clinical record and as such should be stored. They could also be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helpful for future therapists to see the work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that was done. However, it is also important to bear in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mind that these are personal letters that have been written solely for the client and not for others to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view. I think clients need to be aware of how their data is stored, alongside trust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policies bein</w:t>
      </w:r>
      <w:r w:rsidR="00127A3D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g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adhered to.</w:t>
      </w:r>
    </w:p>
    <w:p w14:paraId="1E9D82AC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53372003" w14:textId="7253BDEB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lastRenderedPageBreak/>
        <w:t>Sometimes electronic systems have ‘restricted access’ sections that could be useful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to use in this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instance.</w:t>
      </w:r>
    </w:p>
    <w:p w14:paraId="00986118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53C77A84" w14:textId="4C5AB661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There is also a very helpful paper on the ACAT website about confidentiality and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CAT tools by Hilary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Brown.</w:t>
      </w:r>
    </w:p>
    <w:p w14:paraId="2F27B041" w14:textId="77777777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26B402B4" w14:textId="77777777" w:rsidR="006B470A" w:rsidRPr="00A9359F" w:rsidRDefault="006B470A" w:rsidP="001F2985">
      <w:pPr>
        <w:pStyle w:val="Heading2"/>
        <w:rPr>
          <w:rFonts w:cstheme="majorHAnsi"/>
        </w:rPr>
      </w:pPr>
      <w:r w:rsidRPr="00A9359F">
        <w:rPr>
          <w:rFonts w:cstheme="majorHAnsi"/>
        </w:rPr>
        <w:t>Finance</w:t>
      </w:r>
    </w:p>
    <w:p w14:paraId="62D88AAE" w14:textId="77777777" w:rsidR="006B470A" w:rsidRPr="00A9359F" w:rsidRDefault="006B470A" w:rsidP="001F2985">
      <w:pPr>
        <w:pStyle w:val="Heading3"/>
        <w:rPr>
          <w:rFonts w:cstheme="majorHAnsi"/>
        </w:rPr>
      </w:pPr>
      <w:r w:rsidRPr="00A9359F">
        <w:rPr>
          <w:rFonts w:cstheme="majorHAnsi"/>
        </w:rPr>
        <w:t>When do I pay the training fees?</w:t>
      </w:r>
    </w:p>
    <w:p w14:paraId="509E3DC1" w14:textId="2CA6B005" w:rsidR="006B470A" w:rsidRPr="00A9359F" w:rsidRDefault="006B470A" w:rsidP="007A2948">
      <w:pPr>
        <w:pStyle w:val="p4"/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9359F">
        <w:rPr>
          <w:rFonts w:asciiTheme="majorHAnsi" w:hAnsiTheme="majorHAnsi" w:cstheme="majorHAnsi"/>
          <w:i/>
          <w:iCs/>
          <w:sz w:val="24"/>
          <w:szCs w:val="24"/>
        </w:rPr>
        <w:t>You’ll be asked to fill in a finance form after accepting a place which asks you to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provide details of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how the fees will be paid for year 1 and year 2, for example, the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academic course fee (paid to us);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Supervision fees (whether free to you in house,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paid direct to a supervisor or paid to us for us to pay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the supervisor). Whether all is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met by an employer (in which case we ask for invoicing details) or a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proportion. If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you are self-</w:t>
      </w:r>
      <w:proofErr w:type="gramStart"/>
      <w:r w:rsidRPr="00A9359F">
        <w:rPr>
          <w:rFonts w:asciiTheme="majorHAnsi" w:hAnsiTheme="majorHAnsi" w:cstheme="majorHAnsi"/>
          <w:i/>
          <w:iCs/>
          <w:sz w:val="24"/>
          <w:szCs w:val="24"/>
        </w:rPr>
        <w:t>funding</w:t>
      </w:r>
      <w:proofErr w:type="gramEnd"/>
      <w:r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you can set up direct debits for instalments. We usually send an</w:t>
      </w:r>
      <w:r w:rsidR="001F2985" w:rsidRPr="00A9359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9359F">
        <w:rPr>
          <w:rFonts w:asciiTheme="majorHAnsi" w:hAnsiTheme="majorHAnsi" w:cstheme="majorHAnsi"/>
          <w:i/>
          <w:iCs/>
          <w:sz w:val="24"/>
          <w:szCs w:val="24"/>
        </w:rPr>
        <w:t>invoice soon after receiving the payment details given in the finance form.</w:t>
      </w:r>
    </w:p>
    <w:p w14:paraId="1DC813D1" w14:textId="77777777" w:rsidR="006B470A" w:rsidRPr="00A9359F" w:rsidRDefault="006B470A" w:rsidP="007A2948">
      <w:pPr>
        <w:spacing w:line="276" w:lineRule="auto"/>
        <w:rPr>
          <w:rFonts w:asciiTheme="majorHAnsi" w:hAnsiTheme="majorHAnsi" w:cstheme="majorHAnsi"/>
          <w:i/>
          <w:iCs/>
        </w:rPr>
      </w:pPr>
    </w:p>
    <w:sectPr w:rsidR="006B470A" w:rsidRPr="00A93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0833" w14:textId="77777777" w:rsidR="00DD52EB" w:rsidRDefault="00DD52EB" w:rsidP="006B470A">
      <w:r>
        <w:separator/>
      </w:r>
    </w:p>
  </w:endnote>
  <w:endnote w:type="continuationSeparator" w:id="0">
    <w:p w14:paraId="4FD6A84D" w14:textId="77777777" w:rsidR="00DD52EB" w:rsidRDefault="00DD52EB" w:rsidP="006B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15D3" w14:textId="77777777" w:rsidR="00DD52EB" w:rsidRDefault="00DD52EB" w:rsidP="006B470A">
      <w:r>
        <w:separator/>
      </w:r>
    </w:p>
  </w:footnote>
  <w:footnote w:type="continuationSeparator" w:id="0">
    <w:p w14:paraId="5ADD7479" w14:textId="77777777" w:rsidR="00DD52EB" w:rsidRDefault="00DD52EB" w:rsidP="006B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0A"/>
    <w:rsid w:val="00127A3D"/>
    <w:rsid w:val="001F2985"/>
    <w:rsid w:val="004D0E32"/>
    <w:rsid w:val="006B470A"/>
    <w:rsid w:val="007A2948"/>
    <w:rsid w:val="00A452B5"/>
    <w:rsid w:val="00A9359F"/>
    <w:rsid w:val="00C928ED"/>
    <w:rsid w:val="00CF0542"/>
    <w:rsid w:val="00D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B173"/>
  <w15:chartTrackingRefBased/>
  <w15:docId w15:val="{6E65A933-A72D-384A-B608-15705D31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9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9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B470A"/>
    <w:rPr>
      <w:rFonts w:ascii="Helvetica" w:eastAsia="Times New Roman" w:hAnsi="Helvetica" w:cs="Times New Roman"/>
      <w:color w:val="255FA6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6B470A"/>
    <w:rPr>
      <w:rFonts w:ascii="Helvetica" w:eastAsia="Times New Roman" w:hAnsi="Helvetica" w:cs="Times New Roman"/>
      <w:color w:val="255FA6"/>
      <w:kern w:val="0"/>
      <w:sz w:val="20"/>
      <w:szCs w:val="20"/>
      <w:lang w:eastAsia="en-GB"/>
      <w14:ligatures w14:val="none"/>
    </w:rPr>
  </w:style>
  <w:style w:type="paragraph" w:customStyle="1" w:styleId="p3">
    <w:name w:val="p3"/>
    <w:basedOn w:val="Normal"/>
    <w:rsid w:val="006B470A"/>
    <w:rPr>
      <w:rFonts w:ascii="Helvetica" w:eastAsia="Times New Roman" w:hAnsi="Helvetica" w:cs="Times New Roman"/>
      <w:color w:val="193B65"/>
      <w:kern w:val="0"/>
      <w:sz w:val="18"/>
      <w:szCs w:val="18"/>
      <w:lang w:eastAsia="en-GB"/>
      <w14:ligatures w14:val="none"/>
    </w:rPr>
  </w:style>
  <w:style w:type="paragraph" w:customStyle="1" w:styleId="p4">
    <w:name w:val="p4"/>
    <w:basedOn w:val="Normal"/>
    <w:rsid w:val="006B470A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6B470A"/>
    <w:rPr>
      <w:rFonts w:ascii="Helvetica" w:hAnsi="Helvetica" w:hint="default"/>
      <w:color w:val="000000"/>
      <w:sz w:val="17"/>
      <w:szCs w:val="17"/>
    </w:rPr>
  </w:style>
  <w:style w:type="character" w:customStyle="1" w:styleId="s2">
    <w:name w:val="s2"/>
    <w:basedOn w:val="DefaultParagraphFont"/>
    <w:rsid w:val="006B470A"/>
    <w:rPr>
      <w:color w:val="255FA6"/>
    </w:rPr>
  </w:style>
  <w:style w:type="character" w:customStyle="1" w:styleId="s3">
    <w:name w:val="s3"/>
    <w:basedOn w:val="DefaultParagraphFont"/>
    <w:rsid w:val="006B470A"/>
    <w:rPr>
      <w:rFonts w:ascii="Helvetica" w:hAnsi="Helvetica" w:hint="default"/>
      <w:color w:val="255FA6"/>
      <w:sz w:val="20"/>
      <w:szCs w:val="20"/>
    </w:rPr>
  </w:style>
  <w:style w:type="character" w:customStyle="1" w:styleId="s4">
    <w:name w:val="s4"/>
    <w:basedOn w:val="DefaultParagraphFont"/>
    <w:rsid w:val="006B470A"/>
    <w:rPr>
      <w:rFonts w:ascii="Helvetica" w:hAnsi="Helvetica" w:hint="default"/>
      <w:color w:val="193B65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47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70A"/>
  </w:style>
  <w:style w:type="paragraph" w:styleId="Footer">
    <w:name w:val="footer"/>
    <w:basedOn w:val="Normal"/>
    <w:link w:val="FooterChar"/>
    <w:uiPriority w:val="99"/>
    <w:unhideWhenUsed/>
    <w:rsid w:val="006B47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70A"/>
  </w:style>
  <w:style w:type="character" w:customStyle="1" w:styleId="Heading1Char">
    <w:name w:val="Heading 1 Char"/>
    <w:basedOn w:val="DefaultParagraphFont"/>
    <w:link w:val="Heading1"/>
    <w:uiPriority w:val="9"/>
    <w:rsid w:val="007A2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29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294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Goring</dc:creator>
  <cp:keywords/>
  <dc:description/>
  <cp:lastModifiedBy>Hannah Goring</cp:lastModifiedBy>
  <cp:revision>6</cp:revision>
  <dcterms:created xsi:type="dcterms:W3CDTF">2025-09-30T16:56:00Z</dcterms:created>
  <dcterms:modified xsi:type="dcterms:W3CDTF">2025-09-30T17:41:00Z</dcterms:modified>
</cp:coreProperties>
</file>